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华文仿宋" w:cs="Times New Roman"/>
          <w:color w:val="000000" w:themeColor="text1"/>
          <w:sz w:val="32"/>
          <w:szCs w:val="32"/>
          <w14:textFill>
            <w14:solidFill>
              <w14:schemeClr w14:val="tx1"/>
            </w14:solidFill>
          </w14:textFill>
        </w:rPr>
      </w:pPr>
      <w:r>
        <w:rPr>
          <w:rFonts w:ascii="Times New Roman" w:hAnsi="Times New Roman" w:eastAsia="华文仿宋" w:cs="Times New Roman"/>
          <w:color w:val="000000" w:themeColor="text1"/>
          <w:sz w:val="32"/>
          <w:szCs w:val="32"/>
          <w14:textFill>
            <w14:solidFill>
              <w14:schemeClr w14:val="tx1"/>
            </w14:solidFill>
          </w14:textFill>
        </w:rPr>
        <w:t>附件1</w:t>
      </w:r>
    </w:p>
    <w:p>
      <w:pPr>
        <w:pStyle w:val="2"/>
        <w:spacing w:line="560" w:lineRule="exact"/>
        <w:ind w:firstLine="0" w:firstLineChars="0"/>
        <w:jc w:val="center"/>
        <w:rPr>
          <w:rFonts w:eastAsia="华文仿宋" w:cs="Times New Roman"/>
          <w:color w:val="000000" w:themeColor="text1"/>
          <w:sz w:val="36"/>
          <w:szCs w:val="36"/>
          <w14:textFill>
            <w14:solidFill>
              <w14:schemeClr w14:val="tx1"/>
            </w14:solidFill>
          </w14:textFill>
        </w:rPr>
      </w:pPr>
      <w:r>
        <w:rPr>
          <w:rFonts w:hint="eastAsia" w:ascii="华文中宋" w:hAnsi="华文中宋" w:eastAsia="华文中宋" w:cs="华文中宋"/>
          <w:b/>
          <w:bCs/>
          <w:sz w:val="36"/>
          <w:szCs w:val="36"/>
        </w:rPr>
        <w:t>全国农广校体系农民教育培训典型校</w:t>
      </w:r>
      <w:r>
        <w:rPr>
          <w:rFonts w:hint="eastAsia" w:ascii="华文中宋" w:hAnsi="华文中宋" w:eastAsia="华文中宋" w:cs="华文中宋"/>
          <w:b/>
          <w:bCs/>
          <w:color w:val="000000" w:themeColor="text1"/>
          <w:sz w:val="36"/>
          <w:szCs w:val="36"/>
          <w14:textFill>
            <w14:solidFill>
              <w14:schemeClr w14:val="tx1"/>
            </w14:solidFill>
          </w14:textFill>
        </w:rPr>
        <w:t>遴选条件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956"/>
        <w:gridCol w:w="10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757" w:type="dxa"/>
            <w:vMerge w:val="restart"/>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办学定位</w:t>
            </w: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政治素质</w:t>
            </w:r>
          </w:p>
        </w:tc>
        <w:tc>
          <w:tcPr>
            <w:tcW w:w="10460" w:type="dxa"/>
            <w:vAlign w:val="center"/>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单位全体教职员工特别是领导班子政治站位高、思想觉悟高、大局意识强。深入学习习近平新时代中国特色社会主义思想，取得丰富学习成果。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757" w:type="dxa"/>
            <w:vMerge w:val="continue"/>
            <w:vAlign w:val="center"/>
          </w:tcPr>
          <w:p>
            <w:pPr>
              <w:pStyle w:val="2"/>
              <w:spacing w:line="400" w:lineRule="exact"/>
              <w:ind w:firstLine="601"/>
              <w:rPr>
                <w:rFonts w:ascii="华文仿宋" w:hAnsi="华文仿宋" w:eastAsia="华文仿宋" w:cs="华文仿宋"/>
                <w:b/>
                <w:bCs/>
                <w:kern w:val="0"/>
                <w:sz w:val="30"/>
                <w:szCs w:val="3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办学方向</w:t>
            </w:r>
          </w:p>
        </w:tc>
        <w:tc>
          <w:tcPr>
            <w:tcW w:w="10460" w:type="dxa"/>
            <w:vAlign w:val="center"/>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坚持面向“三农”办学方向，办学思路清晰。全面贯彻党的教育方针，广泛开展农民教育培训。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757" w:type="dxa"/>
            <w:vMerge w:val="continue"/>
            <w:vAlign w:val="center"/>
          </w:tcPr>
          <w:p>
            <w:pPr>
              <w:pStyle w:val="2"/>
              <w:spacing w:line="400" w:lineRule="exact"/>
              <w:ind w:firstLine="601"/>
              <w:rPr>
                <w:rFonts w:ascii="华文仿宋" w:hAnsi="华文仿宋" w:eastAsia="华文仿宋" w:cs="华文仿宋"/>
                <w:b/>
                <w:bCs/>
                <w:kern w:val="0"/>
                <w:sz w:val="30"/>
                <w:szCs w:val="3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内部管理</w:t>
            </w:r>
          </w:p>
        </w:tc>
        <w:tc>
          <w:tcPr>
            <w:tcW w:w="10460" w:type="dxa"/>
            <w:vAlign w:val="center"/>
          </w:tcPr>
          <w:p>
            <w:pPr>
              <w:spacing w:line="40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制定了完善的规章制度，形成了单位文化。</w:t>
            </w:r>
            <w:r>
              <w:rPr>
                <w:rFonts w:hint="eastAsia" w:ascii="华文仿宋" w:hAnsi="华文仿宋" w:eastAsia="华文仿宋" w:cs="华文仿宋"/>
                <w:kern w:val="0"/>
                <w:sz w:val="30"/>
                <w:szCs w:val="30"/>
              </w:rPr>
              <w:t>工作得到上级部门的充分肯定，获得多项国家、省部、地市</w:t>
            </w:r>
            <w:r>
              <w:rPr>
                <w:rFonts w:hint="eastAsia" w:ascii="华文仿宋" w:hAnsi="华文仿宋" w:eastAsia="华文仿宋" w:cs="华文仿宋"/>
                <w:kern w:val="2"/>
                <w:sz w:val="30"/>
                <w:szCs w:val="30"/>
              </w:rPr>
              <w:t>、县</w:t>
            </w:r>
            <w:r>
              <w:rPr>
                <w:rFonts w:hint="eastAsia" w:ascii="华文仿宋" w:hAnsi="华文仿宋" w:eastAsia="华文仿宋" w:cs="华文仿宋"/>
                <w:kern w:val="0"/>
                <w:sz w:val="30"/>
                <w:szCs w:val="30"/>
              </w:rPr>
              <w:t>级荣誉。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57" w:type="dxa"/>
            <w:vMerge w:val="restart"/>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基本条件</w:t>
            </w: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机构设置</w:t>
            </w:r>
          </w:p>
        </w:tc>
        <w:tc>
          <w:tcPr>
            <w:tcW w:w="10460" w:type="dxa"/>
            <w:vAlign w:val="center"/>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机构独立设置（有独立法人资格），公益性事业单位性质。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trPr>
        <w:tc>
          <w:tcPr>
            <w:tcW w:w="1757" w:type="dxa"/>
            <w:vMerge w:val="continue"/>
            <w:vAlign w:val="center"/>
          </w:tcPr>
          <w:p>
            <w:pPr>
              <w:spacing w:line="400" w:lineRule="exact"/>
              <w:jc w:val="center"/>
              <w:rPr>
                <w:rFonts w:ascii="华文仿宋" w:hAnsi="华文仿宋" w:eastAsia="华文仿宋" w:cs="华文仿宋"/>
                <w:b/>
                <w:bCs/>
                <w:kern w:val="0"/>
                <w:sz w:val="30"/>
                <w:szCs w:val="3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办学场地</w:t>
            </w:r>
          </w:p>
        </w:tc>
        <w:tc>
          <w:tcPr>
            <w:tcW w:w="10460" w:type="dxa"/>
            <w:vAlign w:val="center"/>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省级校：</w:t>
            </w:r>
            <w:r>
              <w:rPr>
                <w:rFonts w:hint="eastAsia" w:ascii="华文仿宋" w:hAnsi="华文仿宋" w:eastAsia="华文仿宋" w:cs="华文仿宋"/>
                <w:kern w:val="0"/>
                <w:sz w:val="30"/>
                <w:szCs w:val="30"/>
              </w:rPr>
              <w:t>有独立办公办学场所</w:t>
            </w:r>
          </w:p>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市级校：</w:t>
            </w:r>
            <w:r>
              <w:rPr>
                <w:rFonts w:hint="eastAsia" w:ascii="华文仿宋" w:hAnsi="华文仿宋" w:eastAsia="华文仿宋" w:cs="华文仿宋"/>
                <w:kern w:val="0"/>
                <w:sz w:val="30"/>
                <w:szCs w:val="30"/>
              </w:rPr>
              <w:t>有独立办公办学场所，办公办学占地面积按照15平方米/万人（市农村常住人口）计算，资产总价值按照3元/人（市农村常住人口）计算。</w:t>
            </w:r>
          </w:p>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县级校：</w:t>
            </w:r>
            <w:r>
              <w:rPr>
                <w:rFonts w:hint="eastAsia" w:ascii="华文仿宋" w:hAnsi="华文仿宋" w:eastAsia="华文仿宋" w:cs="华文仿宋"/>
                <w:kern w:val="0"/>
                <w:sz w:val="30"/>
                <w:szCs w:val="30"/>
              </w:rPr>
              <w:t>有独立办公办学场所，办公办学占地面积按照10平方米/万人（县农村常住人口）计算，资产总价值按照1元/人（县农村常住人口）计算。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1757" w:type="dxa"/>
            <w:vMerge w:val="continue"/>
            <w:vAlign w:val="center"/>
          </w:tcPr>
          <w:p>
            <w:pPr>
              <w:spacing w:line="400" w:lineRule="exact"/>
              <w:rPr>
                <w:rFonts w:ascii="华文仿宋" w:hAnsi="华文仿宋" w:eastAsia="华文仿宋" w:cs="华文仿宋"/>
                <w:b/>
                <w:bCs/>
                <w:kern w:val="0"/>
                <w:sz w:val="30"/>
                <w:szCs w:val="3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办学人员</w:t>
            </w:r>
          </w:p>
        </w:tc>
        <w:tc>
          <w:tcPr>
            <w:tcW w:w="10460" w:type="dxa"/>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省级校：</w:t>
            </w:r>
            <w:r>
              <w:rPr>
                <w:rFonts w:hint="eastAsia" w:ascii="华文仿宋" w:hAnsi="华文仿宋" w:eastAsia="华文仿宋" w:cs="华文仿宋"/>
                <w:kern w:val="0"/>
                <w:sz w:val="30"/>
                <w:szCs w:val="30"/>
              </w:rPr>
              <w:t>教职员工不少于20人，全国共享师资不少于5名。</w:t>
            </w:r>
          </w:p>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市级校：</w:t>
            </w:r>
            <w:r>
              <w:rPr>
                <w:rFonts w:hint="eastAsia" w:ascii="华文仿宋" w:hAnsi="华文仿宋" w:eastAsia="华文仿宋" w:cs="华文仿宋"/>
                <w:kern w:val="0"/>
                <w:sz w:val="30"/>
                <w:szCs w:val="30"/>
              </w:rPr>
              <w:t>教职员工不少于10人，专职教师中的副高及以上职称占比不低于40%。</w:t>
            </w:r>
          </w:p>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县级校：</w:t>
            </w:r>
            <w:r>
              <w:rPr>
                <w:rFonts w:hint="eastAsia" w:ascii="华文仿宋" w:hAnsi="华文仿宋" w:eastAsia="华文仿宋" w:cs="华文仿宋"/>
                <w:kern w:val="0"/>
                <w:sz w:val="30"/>
                <w:szCs w:val="30"/>
              </w:rPr>
              <w:t>教职员工不少于7人，专职教师中的副高及以上职称占比不低于30%。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57" w:type="dxa"/>
            <w:vMerge w:val="continue"/>
            <w:vAlign w:val="center"/>
          </w:tcPr>
          <w:p>
            <w:pPr>
              <w:spacing w:line="400" w:lineRule="exact"/>
              <w:rPr>
                <w:rFonts w:ascii="华文仿宋" w:hAnsi="华文仿宋" w:eastAsia="华文仿宋" w:cs="华文仿宋"/>
                <w:b/>
                <w:bCs/>
                <w:kern w:val="0"/>
                <w:sz w:val="30"/>
                <w:szCs w:val="30"/>
              </w:rPr>
            </w:pPr>
          </w:p>
        </w:tc>
        <w:tc>
          <w:tcPr>
            <w:tcW w:w="1956" w:type="dxa"/>
            <w:vMerge w:val="restart"/>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办学经费</w:t>
            </w:r>
          </w:p>
        </w:tc>
        <w:tc>
          <w:tcPr>
            <w:tcW w:w="10460" w:type="dxa"/>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有较为充足的工作经费，按照不低于人均1.5万元/年标准列入财政预算。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57" w:type="dxa"/>
            <w:vMerge w:val="continue"/>
            <w:vAlign w:val="center"/>
          </w:tcPr>
          <w:p>
            <w:pPr>
              <w:spacing w:line="400" w:lineRule="exact"/>
              <w:rPr>
                <w:rFonts w:ascii="华文仿宋" w:hAnsi="华文仿宋" w:eastAsia="华文仿宋" w:cs="华文仿宋"/>
                <w:b/>
                <w:bCs/>
                <w:kern w:val="0"/>
                <w:sz w:val="30"/>
                <w:szCs w:val="30"/>
              </w:rPr>
            </w:pPr>
          </w:p>
        </w:tc>
        <w:tc>
          <w:tcPr>
            <w:tcW w:w="1956" w:type="dxa"/>
            <w:vMerge w:val="continue"/>
            <w:vAlign w:val="center"/>
          </w:tcPr>
          <w:p>
            <w:pPr>
              <w:spacing w:line="400" w:lineRule="exact"/>
              <w:jc w:val="center"/>
              <w:rPr>
                <w:rFonts w:ascii="华文仿宋" w:hAnsi="华文仿宋" w:eastAsia="华文仿宋" w:cs="华文仿宋"/>
                <w:b/>
                <w:bCs/>
                <w:kern w:val="0"/>
                <w:sz w:val="30"/>
                <w:szCs w:val="30"/>
              </w:rPr>
            </w:pPr>
          </w:p>
        </w:tc>
        <w:tc>
          <w:tcPr>
            <w:tcW w:w="10460" w:type="dxa"/>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有较为稳定的教育培训经费来源渠道，业务开展有充足经费保障。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57" w:type="dxa"/>
            <w:vMerge w:val="continue"/>
            <w:vAlign w:val="center"/>
          </w:tcPr>
          <w:p>
            <w:pPr>
              <w:spacing w:line="400" w:lineRule="exact"/>
              <w:rPr>
                <w:rFonts w:ascii="华文仿宋" w:hAnsi="华文仿宋" w:eastAsia="华文仿宋" w:cs="华文仿宋"/>
                <w:b/>
                <w:bCs/>
                <w:kern w:val="0"/>
                <w:sz w:val="30"/>
                <w:szCs w:val="3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媒体资源</w:t>
            </w:r>
          </w:p>
        </w:tc>
        <w:tc>
          <w:tcPr>
            <w:tcW w:w="10460" w:type="dxa"/>
            <w:vAlign w:val="center"/>
          </w:tcPr>
          <w:p>
            <w:pPr>
              <w:spacing w:line="40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广播电视节目和网络学习资源丰富。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57" w:type="dxa"/>
            <w:vMerge w:val="restart"/>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办学水平</w:t>
            </w: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学历教育</w:t>
            </w:r>
          </w:p>
        </w:tc>
        <w:tc>
          <w:tcPr>
            <w:tcW w:w="10460" w:type="dxa"/>
          </w:tcPr>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省级校：</w:t>
            </w:r>
            <w:r>
              <w:rPr>
                <w:rFonts w:hint="eastAsia" w:ascii="华文仿宋" w:hAnsi="华文仿宋" w:eastAsia="华文仿宋" w:cs="华文仿宋"/>
                <w:kern w:val="0"/>
                <w:sz w:val="30"/>
                <w:szCs w:val="30"/>
              </w:rPr>
              <w:t>指导本省农广校体系持续开展农民中职教育，中职招生规模稳定，在培训与中职、高职贯通衔接方面有探索有举措。</w:t>
            </w:r>
          </w:p>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市级校：</w:t>
            </w:r>
            <w:r>
              <w:rPr>
                <w:rFonts w:hint="eastAsia" w:ascii="华文仿宋" w:hAnsi="华文仿宋" w:eastAsia="华文仿宋" w:cs="华文仿宋"/>
                <w:kern w:val="0"/>
                <w:sz w:val="30"/>
                <w:szCs w:val="30"/>
              </w:rPr>
              <w:t>持续开展农民中职教育，中职招生规模稳定，在培训与中职、高职贯通衔接方面有探索有举措。</w:t>
            </w:r>
          </w:p>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县级校：</w:t>
            </w:r>
            <w:r>
              <w:rPr>
                <w:rFonts w:hint="eastAsia" w:ascii="华文仿宋" w:hAnsi="华文仿宋" w:eastAsia="华文仿宋" w:cs="华文仿宋"/>
                <w:kern w:val="0"/>
                <w:sz w:val="30"/>
                <w:szCs w:val="30"/>
              </w:rPr>
              <w:t>持续开展农民中职教育，中职招生规模稳定，在培训与中职、高职贯通衔接方面有探索有举措。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1757" w:type="dxa"/>
            <w:vMerge w:val="continue"/>
            <w:vAlign w:val="center"/>
          </w:tcPr>
          <w:p>
            <w:pPr>
              <w:pStyle w:val="2"/>
              <w:spacing w:line="400" w:lineRule="exact"/>
              <w:ind w:firstLine="641"/>
              <w:rPr>
                <w:rFonts w:ascii="华文仿宋" w:hAnsi="华文仿宋" w:eastAsia="华文仿宋" w:cs="华文仿宋"/>
                <w:b/>
                <w:bCs/>
                <w:kern w:val="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高素质农民培育</w:t>
            </w:r>
          </w:p>
        </w:tc>
        <w:tc>
          <w:tcPr>
            <w:tcW w:w="10460" w:type="dxa"/>
            <w:vAlign w:val="center"/>
          </w:tcPr>
          <w:p>
            <w:pPr>
              <w:spacing w:line="34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省级校：</w:t>
            </w:r>
            <w:r>
              <w:rPr>
                <w:rFonts w:hint="eastAsia" w:ascii="华文仿宋" w:hAnsi="华文仿宋" w:eastAsia="华文仿宋" w:cs="华文仿宋"/>
                <w:kern w:val="0"/>
                <w:sz w:val="30"/>
                <w:szCs w:val="30"/>
              </w:rPr>
              <w:t>配合主管部门承担高素质农民培育基础性工作，开展高素质农民示范培训，指导本省农广校体系积极承担高素质农民培育任务，全省农广校承担任务占比不低于</w:t>
            </w:r>
            <w:r>
              <w:rPr>
                <w:rFonts w:hint="eastAsia" w:ascii="华文仿宋" w:hAnsi="华文仿宋" w:eastAsia="华文仿宋" w:cs="华文仿宋"/>
                <w:color w:val="000000" w:themeColor="text1"/>
                <w:kern w:val="0"/>
                <w:sz w:val="30"/>
                <w:szCs w:val="30"/>
                <w14:textFill>
                  <w14:solidFill>
                    <w14:schemeClr w14:val="tx1"/>
                  </w14:solidFill>
                </w14:textFill>
              </w:rPr>
              <w:t>40%</w:t>
            </w:r>
            <w:r>
              <w:rPr>
                <w:rFonts w:hint="eastAsia" w:ascii="华文仿宋" w:hAnsi="华文仿宋" w:eastAsia="华文仿宋" w:cs="华文仿宋"/>
                <w:kern w:val="0"/>
                <w:sz w:val="30"/>
                <w:szCs w:val="30"/>
              </w:rPr>
              <w:t>。</w:t>
            </w:r>
          </w:p>
          <w:p>
            <w:pPr>
              <w:spacing w:line="34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市级校：</w:t>
            </w:r>
            <w:r>
              <w:rPr>
                <w:rFonts w:hint="eastAsia" w:ascii="华文仿宋" w:hAnsi="华文仿宋" w:eastAsia="华文仿宋" w:cs="华文仿宋"/>
                <w:kern w:val="0"/>
                <w:sz w:val="30"/>
                <w:szCs w:val="30"/>
              </w:rPr>
              <w:t>配合主管部门承担高素质农民培育基础性工作，开展高素质农民培训，指导本市农广校体系积极承担高素质农民培育任务，全市农广校承担任务占比不低于</w:t>
            </w:r>
            <w:r>
              <w:rPr>
                <w:rFonts w:hint="eastAsia" w:ascii="华文仿宋" w:hAnsi="华文仿宋" w:eastAsia="华文仿宋" w:cs="华文仿宋"/>
                <w:color w:val="000000" w:themeColor="text1"/>
                <w:kern w:val="0"/>
                <w:sz w:val="30"/>
                <w:szCs w:val="30"/>
                <w14:textFill>
                  <w14:solidFill>
                    <w14:schemeClr w14:val="tx1"/>
                  </w14:solidFill>
                </w14:textFill>
              </w:rPr>
              <w:t>50%</w:t>
            </w:r>
            <w:r>
              <w:rPr>
                <w:rFonts w:hint="eastAsia" w:ascii="华文仿宋" w:hAnsi="华文仿宋" w:eastAsia="华文仿宋" w:cs="华文仿宋"/>
                <w:kern w:val="0"/>
                <w:sz w:val="30"/>
                <w:szCs w:val="30"/>
              </w:rPr>
              <w:t>。</w:t>
            </w:r>
          </w:p>
          <w:p>
            <w:pPr>
              <w:spacing w:line="34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县级校：</w:t>
            </w:r>
            <w:r>
              <w:rPr>
                <w:rFonts w:hint="eastAsia" w:ascii="华文仿宋" w:hAnsi="华文仿宋" w:eastAsia="华文仿宋" w:cs="华文仿宋"/>
                <w:kern w:val="0"/>
                <w:sz w:val="30"/>
                <w:szCs w:val="30"/>
              </w:rPr>
              <w:t>配合主管部门承担高素质农民培育基础性工作，开展高素质农民培训，承担任务占比不低于</w:t>
            </w:r>
            <w:r>
              <w:rPr>
                <w:rFonts w:hint="eastAsia" w:ascii="华文仿宋" w:hAnsi="华文仿宋" w:eastAsia="华文仿宋" w:cs="华文仿宋"/>
                <w:color w:val="000000" w:themeColor="text1"/>
                <w:kern w:val="0"/>
                <w:sz w:val="30"/>
                <w:szCs w:val="30"/>
                <w14:textFill>
                  <w14:solidFill>
                    <w14:schemeClr w14:val="tx1"/>
                  </w14:solidFill>
                </w14:textFill>
              </w:rPr>
              <w:t>80%</w:t>
            </w:r>
            <w:r>
              <w:rPr>
                <w:rFonts w:hint="eastAsia" w:ascii="华文仿宋" w:hAnsi="华文仿宋" w:eastAsia="华文仿宋" w:cs="华文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57" w:type="dxa"/>
            <w:vMerge w:val="continue"/>
            <w:vAlign w:val="center"/>
          </w:tcPr>
          <w:p>
            <w:pPr>
              <w:pStyle w:val="2"/>
              <w:spacing w:line="400" w:lineRule="exact"/>
              <w:ind w:firstLine="601"/>
              <w:rPr>
                <w:rFonts w:ascii="华文仿宋" w:hAnsi="华文仿宋" w:eastAsia="华文仿宋" w:cs="华文仿宋"/>
                <w:b/>
                <w:bCs/>
                <w:kern w:val="0"/>
                <w:sz w:val="30"/>
                <w:szCs w:val="3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冬春大培训等其他培训</w:t>
            </w:r>
          </w:p>
        </w:tc>
        <w:tc>
          <w:tcPr>
            <w:tcW w:w="10460" w:type="dxa"/>
            <w:vAlign w:val="center"/>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按照中央校要求开展冬春大培训，根据地方实际开展农业科技培训、远程培训等其他培训工作。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757" w:type="dxa"/>
            <w:vMerge w:val="continue"/>
            <w:vAlign w:val="center"/>
          </w:tcPr>
          <w:p>
            <w:pPr>
              <w:pStyle w:val="2"/>
              <w:spacing w:line="400" w:lineRule="exact"/>
              <w:ind w:firstLine="0" w:firstLineChars="0"/>
              <w:rPr>
                <w:rFonts w:ascii="华文仿宋" w:hAnsi="华文仿宋" w:eastAsia="华文仿宋" w:cs="华文仿宋"/>
                <w:b/>
                <w:bCs/>
                <w:kern w:val="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教材建设</w:t>
            </w:r>
          </w:p>
        </w:tc>
        <w:tc>
          <w:tcPr>
            <w:tcW w:w="10460" w:type="dxa"/>
            <w:vAlign w:val="center"/>
          </w:tcPr>
          <w:p>
            <w:pPr>
              <w:spacing w:line="34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省级校</w:t>
            </w:r>
            <w:r>
              <w:rPr>
                <w:rFonts w:hint="eastAsia" w:ascii="华文仿宋" w:hAnsi="华文仿宋" w:eastAsia="华文仿宋" w:cs="华文仿宋"/>
                <w:color w:val="000000" w:themeColor="text1"/>
                <w:kern w:val="0"/>
                <w:sz w:val="30"/>
                <w:szCs w:val="30"/>
                <w14:textFill>
                  <w14:solidFill>
                    <w14:schemeClr w14:val="tx1"/>
                  </w14:solidFill>
                </w14:textFill>
              </w:rPr>
              <w:t>：全省农广校体系学历教育使用农业农村部农民教育培训规划教材占比不低于80%，培训使用农业农村部农民教育培训规划教材占比不低于30%，根据地方实际组织编写区域性教材。</w:t>
            </w:r>
          </w:p>
          <w:p>
            <w:pPr>
              <w:spacing w:line="34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市级校</w:t>
            </w:r>
            <w:r>
              <w:rPr>
                <w:rFonts w:hint="eastAsia" w:ascii="华文仿宋" w:hAnsi="华文仿宋" w:eastAsia="华文仿宋" w:cs="华文仿宋"/>
                <w:color w:val="000000" w:themeColor="text1"/>
                <w:kern w:val="0"/>
                <w:sz w:val="30"/>
                <w:szCs w:val="30"/>
                <w14:textFill>
                  <w14:solidFill>
                    <w14:schemeClr w14:val="tx1"/>
                  </w14:solidFill>
                </w14:textFill>
              </w:rPr>
              <w:t>：全市农广校体系学历教育使用农业农村部农民教育培训规划教材占比不低于80%，培训使用中央校教材占比不低于30%。</w:t>
            </w:r>
          </w:p>
          <w:p>
            <w:pPr>
              <w:spacing w:line="340" w:lineRule="exact"/>
              <w:rPr>
                <w:rFonts w:ascii="华文仿宋" w:hAnsi="华文仿宋" w:eastAsia="华文仿宋" w:cs="华文仿宋"/>
                <w:color w:val="000000" w:themeColor="text1"/>
                <w:kern w:val="0"/>
                <w:sz w:val="32"/>
                <w:szCs w:val="4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县级校</w:t>
            </w:r>
            <w:r>
              <w:rPr>
                <w:rFonts w:hint="eastAsia" w:ascii="华文仿宋" w:hAnsi="华文仿宋" w:eastAsia="华文仿宋" w:cs="华文仿宋"/>
                <w:color w:val="000000" w:themeColor="text1"/>
                <w:kern w:val="0"/>
                <w:sz w:val="30"/>
                <w:szCs w:val="30"/>
                <w14:textFill>
                  <w14:solidFill>
                    <w14:schemeClr w14:val="tx1"/>
                  </w14:solidFill>
                </w14:textFill>
              </w:rPr>
              <w:t>：开展的学历教育使用中央校教材占比不低于80%，培训使用中央校教材占比不低于30%。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757" w:type="dxa"/>
            <w:vMerge w:val="restart"/>
            <w:vAlign w:val="center"/>
          </w:tcPr>
          <w:p>
            <w:pPr>
              <w:pStyle w:val="2"/>
              <w:spacing w:line="400" w:lineRule="exact"/>
              <w:ind w:firstLine="0" w:firstLineChars="0"/>
              <w:jc w:val="center"/>
              <w:rPr>
                <w:rFonts w:ascii="华文仿宋" w:hAnsi="华文仿宋" w:eastAsia="华文仿宋" w:cs="华文仿宋"/>
                <w:b/>
                <w:bCs/>
                <w:kern w:val="0"/>
              </w:rPr>
            </w:pPr>
            <w:r>
              <w:rPr>
                <w:rFonts w:hint="eastAsia" w:ascii="华文仿宋" w:hAnsi="华文仿宋" w:eastAsia="华文仿宋" w:cs="华文仿宋"/>
                <w:b/>
                <w:bCs/>
                <w:kern w:val="0"/>
              </w:rPr>
              <w:t>办学成果</w:t>
            </w: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优秀学员</w:t>
            </w:r>
          </w:p>
        </w:tc>
        <w:tc>
          <w:tcPr>
            <w:tcW w:w="10460" w:type="dxa"/>
            <w:vAlign w:val="center"/>
          </w:tcPr>
          <w:p>
            <w:pPr>
              <w:spacing w:line="40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学员中有入选全国十佳农民、全国农业农村劳动模范、县级及以上劳动模范，或者当选县级及以上人大代表、政协委员。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757" w:type="dxa"/>
            <w:vMerge w:val="continue"/>
            <w:vAlign w:val="center"/>
          </w:tcPr>
          <w:p>
            <w:pPr>
              <w:pStyle w:val="2"/>
              <w:spacing w:line="400" w:lineRule="exact"/>
              <w:ind w:firstLine="0" w:firstLineChars="0"/>
              <w:rPr>
                <w:rFonts w:ascii="华文仿宋" w:hAnsi="华文仿宋" w:eastAsia="华文仿宋" w:cs="华文仿宋"/>
                <w:b/>
                <w:bCs/>
                <w:kern w:val="0"/>
              </w:rPr>
            </w:pPr>
          </w:p>
        </w:tc>
        <w:tc>
          <w:tcPr>
            <w:tcW w:w="1956" w:type="dxa"/>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信息宣传</w:t>
            </w:r>
          </w:p>
        </w:tc>
        <w:tc>
          <w:tcPr>
            <w:tcW w:w="10460" w:type="dxa"/>
            <w:vAlign w:val="center"/>
          </w:tcPr>
          <w:p>
            <w:pPr>
              <w:spacing w:line="40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通过央媒、部属媒体和中央校网站等各类媒体开展信息宣传。充分利用《农业广播电视教育报》《农民科技培训》开展信息宣传和经验推介。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757" w:type="dxa"/>
            <w:vMerge w:val="restart"/>
            <w:vAlign w:val="center"/>
          </w:tcPr>
          <w:p>
            <w:pPr>
              <w:pStyle w:val="2"/>
              <w:spacing w:line="400" w:lineRule="exact"/>
              <w:ind w:firstLine="0" w:firstLineChars="0"/>
              <w:jc w:val="center"/>
              <w:rPr>
                <w:rFonts w:ascii="华文仿宋" w:hAnsi="华文仿宋" w:eastAsia="华文仿宋" w:cs="华文仿宋"/>
                <w:b/>
                <w:bCs/>
                <w:kern w:val="0"/>
              </w:rPr>
            </w:pPr>
            <w:r>
              <w:rPr>
                <w:rFonts w:hint="eastAsia" w:ascii="华文仿宋" w:hAnsi="华文仿宋" w:eastAsia="华文仿宋" w:cs="华文仿宋"/>
                <w:b/>
                <w:bCs/>
                <w:kern w:val="0"/>
              </w:rPr>
              <w:t>体系建设</w:t>
            </w:r>
          </w:p>
        </w:tc>
        <w:tc>
          <w:tcPr>
            <w:tcW w:w="1956" w:type="dxa"/>
            <w:vAlign w:val="center"/>
          </w:tcPr>
          <w:p>
            <w:pPr>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体系健全</w:t>
            </w:r>
          </w:p>
        </w:tc>
        <w:tc>
          <w:tcPr>
            <w:tcW w:w="10460" w:type="dxa"/>
          </w:tcPr>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省级校：</w:t>
            </w:r>
            <w:r>
              <w:rPr>
                <w:rFonts w:hint="eastAsia" w:ascii="华文仿宋" w:hAnsi="华文仿宋" w:eastAsia="华文仿宋" w:cs="华文仿宋"/>
                <w:kern w:val="0"/>
                <w:sz w:val="30"/>
                <w:szCs w:val="30"/>
              </w:rPr>
              <w:t>全省农广校体系基本健全，独立设置比例不低于30%；</w:t>
            </w:r>
          </w:p>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市级校：</w:t>
            </w:r>
            <w:r>
              <w:rPr>
                <w:rFonts w:hint="eastAsia" w:ascii="华文仿宋" w:hAnsi="华文仿宋" w:eastAsia="华文仿宋" w:cs="华文仿宋"/>
                <w:kern w:val="0"/>
                <w:sz w:val="30"/>
                <w:szCs w:val="30"/>
              </w:rPr>
              <w:t>全市农广校体系基本健全，独立设置比例不低于35%；</w:t>
            </w:r>
          </w:p>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县级校：</w:t>
            </w:r>
            <w:r>
              <w:rPr>
                <w:rFonts w:hint="eastAsia" w:ascii="华文仿宋" w:hAnsi="华文仿宋" w:eastAsia="华文仿宋" w:cs="华文仿宋"/>
                <w:kern w:val="0"/>
                <w:sz w:val="30"/>
                <w:szCs w:val="30"/>
              </w:rPr>
              <w:t>建有多个农民田间学校，乡镇覆盖率达到80%。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757" w:type="dxa"/>
            <w:vMerge w:val="continue"/>
            <w:vAlign w:val="center"/>
          </w:tcPr>
          <w:p>
            <w:pPr>
              <w:pStyle w:val="2"/>
              <w:spacing w:line="400" w:lineRule="exact"/>
              <w:ind w:firstLine="0" w:firstLineChars="0"/>
              <w:rPr>
                <w:rFonts w:ascii="华文仿宋" w:hAnsi="华文仿宋" w:eastAsia="华文仿宋" w:cs="华文仿宋"/>
                <w:b/>
                <w:bCs/>
                <w:kern w:val="0"/>
              </w:rPr>
            </w:pPr>
          </w:p>
        </w:tc>
        <w:tc>
          <w:tcPr>
            <w:tcW w:w="1956" w:type="dxa"/>
            <w:vAlign w:val="center"/>
          </w:tcPr>
          <w:p>
            <w:pPr>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体系配合</w:t>
            </w:r>
          </w:p>
        </w:tc>
        <w:tc>
          <w:tcPr>
            <w:tcW w:w="10460" w:type="dxa"/>
          </w:tcPr>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省级校：</w:t>
            </w:r>
            <w:r>
              <w:rPr>
                <w:rFonts w:hint="eastAsia" w:ascii="华文仿宋" w:hAnsi="华文仿宋" w:eastAsia="华文仿宋" w:cs="华文仿宋"/>
                <w:kern w:val="0"/>
                <w:sz w:val="30"/>
                <w:szCs w:val="30"/>
              </w:rPr>
              <w:t>积极配合完成中央校部署各项工作，区域内各级农广校能上下联动，相互支持配合。</w:t>
            </w:r>
          </w:p>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市级校：</w:t>
            </w:r>
            <w:r>
              <w:rPr>
                <w:rFonts w:hint="eastAsia" w:ascii="华文仿宋" w:hAnsi="华文仿宋" w:eastAsia="华文仿宋" w:cs="华文仿宋"/>
                <w:kern w:val="0"/>
                <w:sz w:val="30"/>
                <w:szCs w:val="30"/>
              </w:rPr>
              <w:t>积极配合完成省校部署各项工作，区域内市县级校能上下联动，相互支持配合。</w:t>
            </w:r>
          </w:p>
          <w:p>
            <w:pPr>
              <w:spacing w:line="360" w:lineRule="exact"/>
              <w:rPr>
                <w:rFonts w:ascii="华文仿宋" w:hAnsi="华文仿宋" w:eastAsia="华文仿宋" w:cs="华文仿宋"/>
                <w:kern w:val="0"/>
                <w:sz w:val="30"/>
                <w:szCs w:val="30"/>
              </w:rPr>
            </w:pPr>
            <w:r>
              <w:rPr>
                <w:rFonts w:hint="eastAsia" w:ascii="华文仿宋" w:hAnsi="华文仿宋" w:eastAsia="华文仿宋" w:cs="华文仿宋"/>
                <w:b/>
                <w:bCs/>
                <w:kern w:val="0"/>
                <w:sz w:val="30"/>
                <w:szCs w:val="30"/>
              </w:rPr>
              <w:t>县级校：</w:t>
            </w:r>
            <w:r>
              <w:rPr>
                <w:rFonts w:hint="eastAsia" w:ascii="华文仿宋" w:hAnsi="华文仿宋" w:eastAsia="华文仿宋" w:cs="华文仿宋"/>
                <w:kern w:val="0"/>
                <w:sz w:val="30"/>
                <w:szCs w:val="30"/>
              </w:rPr>
              <w:t>积极配合完成市校部署各项工作，充分利用农民田间学校开展教学。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757" w:type="dxa"/>
            <w:vMerge w:val="continue"/>
            <w:vAlign w:val="center"/>
          </w:tcPr>
          <w:p>
            <w:pPr>
              <w:pStyle w:val="2"/>
              <w:spacing w:line="400" w:lineRule="exact"/>
              <w:ind w:firstLine="0" w:firstLineChars="0"/>
              <w:rPr>
                <w:rFonts w:ascii="华文仿宋" w:hAnsi="华文仿宋" w:eastAsia="华文仿宋" w:cs="华文仿宋"/>
                <w:b/>
                <w:bCs/>
                <w:kern w:val="0"/>
              </w:rPr>
            </w:pPr>
          </w:p>
        </w:tc>
        <w:tc>
          <w:tcPr>
            <w:tcW w:w="1956" w:type="dxa"/>
            <w:vAlign w:val="center"/>
          </w:tcPr>
          <w:p>
            <w:pPr>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能力提升</w:t>
            </w:r>
          </w:p>
        </w:tc>
        <w:tc>
          <w:tcPr>
            <w:tcW w:w="10460" w:type="dxa"/>
          </w:tcPr>
          <w:p>
            <w:pPr>
              <w:spacing w:line="400" w:lineRule="exac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开展农广校能力提升建设，改善农广校硬件条件，提升师资教学水平。开展农民田间学校建设，建有省级、市级、县级农民田间学校。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3713" w:type="dxa"/>
            <w:gridSpan w:val="2"/>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发展趋势</w:t>
            </w:r>
          </w:p>
        </w:tc>
        <w:tc>
          <w:tcPr>
            <w:tcW w:w="10460" w:type="dxa"/>
            <w:vAlign w:val="center"/>
          </w:tcPr>
          <w:p>
            <w:pPr>
              <w:spacing w:line="40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近5年，在基础条件、办学水平、办学成果、体系建设、内部管理等方面均有所提升。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3713" w:type="dxa"/>
            <w:gridSpan w:val="2"/>
            <w:vAlign w:val="center"/>
          </w:tcPr>
          <w:p>
            <w:pPr>
              <w:spacing w:line="400" w:lineRule="exact"/>
              <w:jc w:val="center"/>
              <w:rPr>
                <w:rFonts w:ascii="华文仿宋" w:hAnsi="华文仿宋" w:eastAsia="华文仿宋" w:cs="华文仿宋"/>
                <w:b/>
                <w:bCs/>
                <w:kern w:val="0"/>
                <w:sz w:val="30"/>
                <w:szCs w:val="30"/>
              </w:rPr>
            </w:pPr>
            <w:r>
              <w:rPr>
                <w:rFonts w:hint="eastAsia" w:ascii="华文仿宋" w:hAnsi="华文仿宋" w:eastAsia="华文仿宋" w:cs="华文仿宋"/>
                <w:b/>
                <w:bCs/>
                <w:kern w:val="0"/>
                <w:sz w:val="32"/>
                <w:szCs w:val="32"/>
              </w:rPr>
              <w:t>一票否决</w:t>
            </w:r>
          </w:p>
        </w:tc>
        <w:tc>
          <w:tcPr>
            <w:tcW w:w="10460" w:type="dxa"/>
            <w:vAlign w:val="center"/>
          </w:tcPr>
          <w:p>
            <w:pPr>
              <w:spacing w:line="400" w:lineRule="exact"/>
              <w:rPr>
                <w:rFonts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发生严重违规违纪事件、重大安全事故等。</w:t>
            </w:r>
          </w:p>
        </w:tc>
      </w:tr>
    </w:tbl>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仿宋"/>
    <w:panose1 w:val="00000000000000000000"/>
    <w:charset w:val="86"/>
    <w:family w:val="auto"/>
    <w:pitch w:val="default"/>
    <w:sig w:usb0="00000000" w:usb1="00000000" w:usb2="00000000" w:usb3="00000000" w:csb0="00000000" w:csb1="00000000"/>
  </w:font>
  <w:font w:name="等线">
    <w:altName w:val="Cloister Black"/>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loister Black">
    <w:panose1 w:val="00000400000000000000"/>
    <w:charset w:val="00"/>
    <w:family w:val="auto"/>
    <w:pitch w:val="default"/>
    <w:sig w:usb0="80000027" w:usb1="0000004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DA"/>
    <w:rsid w:val="00033649"/>
    <w:rsid w:val="008B7ADA"/>
    <w:rsid w:val="BBFFB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ascii="Times New Roman" w:hAnsi="Times New Roman" w:eastAsia="方正仿宋简体"/>
      <w:sz w:val="32"/>
      <w:szCs w:val="32"/>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260</Words>
  <Characters>1482</Characters>
  <Lines>12</Lines>
  <Paragraphs>3</Paragraphs>
  <TotalTime>0</TotalTime>
  <ScaleCrop>false</ScaleCrop>
  <LinksUpToDate>false</LinksUpToDate>
  <CharactersWithSpaces>1739</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2024-01-05T16:36:00Z</dcterms:created>
  <dc:creator>丫丫</dc:creator>
  <cp:lastModifiedBy>nynct</cp:lastModifiedBy>
  <dcterms:modified xsi:type="dcterms:W3CDTF">2024-01-11T16:20:56Z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A66ED825E7799C5CE8A49F6500119B45</vt:lpwstr>
  </property>
</Properties>
</file>