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0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安徽省农业科技教育中心2022年度一般公共预算财政拨款“三公”经费支出决算</w:t>
      </w:r>
    </w:p>
    <w:p>
      <w:pPr>
        <w:autoSpaceDE w:val="0"/>
        <w:spacing w:line="600" w:lineRule="exact"/>
        <w:jc w:val="both"/>
        <w:rPr>
          <w:rFonts w:hint="default" w:ascii="Times New Roman" w:hAnsi="Times New Roman" w:eastAsia="黑体" w:cs="Times New Roman"/>
          <w:sz w:val="32"/>
          <w:szCs w:val="32"/>
        </w:rPr>
      </w:pPr>
    </w:p>
    <w:p>
      <w:pPr>
        <w:autoSpaceDE w:val="0"/>
        <w:spacing w:line="600" w:lineRule="exact"/>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一、2022年度一般公共预算财政拨款“三公”经费支出决算表</w:t>
      </w:r>
    </w:p>
    <w:p>
      <w:pPr>
        <w:autoSpaceDE w:val="0"/>
        <w:spacing w:line="600" w:lineRule="exact"/>
        <w:ind w:firstLine="6720" w:firstLineChars="2100"/>
        <w:rPr>
          <w:rFonts w:hint="default" w:ascii="Times New Roman" w:hAnsi="Times New Roman" w:eastAsia="仿宋_GB2312" w:cs="Times New Roman"/>
          <w:sz w:val="32"/>
          <w:szCs w:val="32"/>
        </w:rPr>
      </w:pPr>
    </w:p>
    <w:p>
      <w:pPr>
        <w:autoSpaceDE w:val="0"/>
        <w:spacing w:line="600" w:lineRule="exact"/>
        <w:ind w:firstLine="7040" w:firstLineChars="220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单位：万元</w:t>
      </w:r>
    </w:p>
    <w:tbl>
      <w:tblPr>
        <w:tblStyle w:val="2"/>
        <w:tblW w:w="9071" w:type="dxa"/>
        <w:jc w:val="center"/>
        <w:tblLayout w:type="fixed"/>
        <w:tblCellMar>
          <w:top w:w="0" w:type="dxa"/>
          <w:left w:w="108" w:type="dxa"/>
          <w:bottom w:w="0" w:type="dxa"/>
          <w:right w:w="108" w:type="dxa"/>
        </w:tblCellMar>
      </w:tblPr>
      <w:tblGrid>
        <w:gridCol w:w="4536"/>
        <w:gridCol w:w="2235"/>
        <w:gridCol w:w="2300"/>
      </w:tblGrid>
      <w:tr>
        <w:tblPrEx>
          <w:tblCellMar>
            <w:top w:w="0" w:type="dxa"/>
            <w:left w:w="108" w:type="dxa"/>
            <w:bottom w:w="0" w:type="dxa"/>
            <w:right w:w="108" w:type="dxa"/>
          </w:tblCellMar>
        </w:tblPrEx>
        <w:trPr>
          <w:trHeight w:val="454" w:hRule="atLeast"/>
          <w:jc w:val="center"/>
        </w:trPr>
        <w:tc>
          <w:tcPr>
            <w:tcW w:w="4536" w:type="dxa"/>
            <w:tcBorders>
              <w:top w:val="single" w:color="auto" w:sz="4" w:space="0"/>
              <w:left w:val="single" w:color="auto" w:sz="4" w:space="0"/>
              <w:bottom w:val="single" w:color="auto" w:sz="4" w:space="0"/>
              <w:right w:val="single" w:color="auto" w:sz="4" w:space="0"/>
            </w:tcBorders>
            <w:vAlign w:val="center"/>
          </w:tcPr>
          <w:p>
            <w:pPr>
              <w:widowControl/>
              <w:autoSpaceDE w:val="0"/>
              <w:spacing w:line="6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项  目</w:t>
            </w:r>
          </w:p>
        </w:tc>
        <w:tc>
          <w:tcPr>
            <w:tcW w:w="2235" w:type="dxa"/>
            <w:tcBorders>
              <w:top w:val="single" w:color="auto" w:sz="4" w:space="0"/>
              <w:left w:val="nil"/>
              <w:bottom w:val="single" w:color="auto" w:sz="4" w:space="0"/>
              <w:right w:val="single" w:color="auto" w:sz="4" w:space="0"/>
            </w:tcBorders>
            <w:vAlign w:val="center"/>
          </w:tcPr>
          <w:p>
            <w:pPr>
              <w:widowControl/>
              <w:autoSpaceDE w:val="0"/>
              <w:spacing w:line="6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预 算 数</w:t>
            </w:r>
          </w:p>
        </w:tc>
        <w:tc>
          <w:tcPr>
            <w:tcW w:w="2300" w:type="dxa"/>
            <w:tcBorders>
              <w:top w:val="single" w:color="auto" w:sz="4" w:space="0"/>
              <w:left w:val="nil"/>
              <w:bottom w:val="single" w:color="auto" w:sz="4" w:space="0"/>
              <w:right w:val="single" w:color="auto" w:sz="4" w:space="0"/>
            </w:tcBorders>
            <w:vAlign w:val="center"/>
          </w:tcPr>
          <w:p>
            <w:pPr>
              <w:widowControl/>
              <w:autoSpaceDE w:val="0"/>
              <w:spacing w:line="6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决 算 数</w:t>
            </w:r>
          </w:p>
        </w:tc>
      </w:tr>
      <w:tr>
        <w:tblPrEx>
          <w:tblCellMar>
            <w:top w:w="0" w:type="dxa"/>
            <w:left w:w="108" w:type="dxa"/>
            <w:bottom w:w="0" w:type="dxa"/>
            <w:right w:w="108" w:type="dxa"/>
          </w:tblCellMar>
        </w:tblPrEx>
        <w:trPr>
          <w:trHeight w:val="454" w:hRule="atLeast"/>
          <w:jc w:val="center"/>
        </w:trPr>
        <w:tc>
          <w:tcPr>
            <w:tcW w:w="4536" w:type="dxa"/>
            <w:tcBorders>
              <w:top w:val="nil"/>
              <w:left w:val="single" w:color="auto" w:sz="4" w:space="0"/>
              <w:bottom w:val="single" w:color="auto" w:sz="4" w:space="0"/>
              <w:right w:val="single" w:color="auto" w:sz="4" w:space="0"/>
            </w:tcBorders>
            <w:vAlign w:val="center"/>
          </w:tcPr>
          <w:p>
            <w:pPr>
              <w:widowControl/>
              <w:autoSpaceDE w:val="0"/>
              <w:spacing w:line="600" w:lineRule="exact"/>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合  计</w:t>
            </w:r>
          </w:p>
        </w:tc>
        <w:tc>
          <w:tcPr>
            <w:tcW w:w="223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color w:val="000000"/>
                <w:kern w:val="0"/>
                <w:sz w:val="20"/>
                <w:szCs w:val="20"/>
              </w:rPr>
              <w:t>0.60</w:t>
            </w:r>
          </w:p>
        </w:tc>
        <w:tc>
          <w:tcPr>
            <w:tcW w:w="2300"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kern w:val="0"/>
                <w:sz w:val="20"/>
                <w:szCs w:val="20"/>
              </w:rPr>
              <w:t>0</w:t>
            </w:r>
          </w:p>
        </w:tc>
      </w:tr>
      <w:tr>
        <w:tblPrEx>
          <w:tblCellMar>
            <w:top w:w="0" w:type="dxa"/>
            <w:left w:w="108" w:type="dxa"/>
            <w:bottom w:w="0" w:type="dxa"/>
            <w:right w:w="108" w:type="dxa"/>
          </w:tblCellMar>
        </w:tblPrEx>
        <w:trPr>
          <w:trHeight w:val="454" w:hRule="atLeast"/>
          <w:jc w:val="center"/>
        </w:trPr>
        <w:tc>
          <w:tcPr>
            <w:tcW w:w="4536" w:type="dxa"/>
            <w:tcBorders>
              <w:top w:val="nil"/>
              <w:left w:val="single" w:color="auto" w:sz="4" w:space="0"/>
              <w:bottom w:val="single" w:color="auto" w:sz="4" w:space="0"/>
              <w:right w:val="single" w:color="auto" w:sz="4" w:space="0"/>
            </w:tcBorders>
            <w:vAlign w:val="center"/>
          </w:tcPr>
          <w:p>
            <w:pPr>
              <w:widowControl/>
              <w:autoSpaceDE w:val="0"/>
              <w:spacing w:line="6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因公出国（境）费</w:t>
            </w:r>
          </w:p>
        </w:tc>
        <w:tc>
          <w:tcPr>
            <w:tcW w:w="2235"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2300"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454" w:hRule="atLeast"/>
          <w:jc w:val="center"/>
        </w:trPr>
        <w:tc>
          <w:tcPr>
            <w:tcW w:w="4536" w:type="dxa"/>
            <w:tcBorders>
              <w:top w:val="nil"/>
              <w:left w:val="single" w:color="auto" w:sz="4" w:space="0"/>
              <w:bottom w:val="single" w:color="auto" w:sz="4" w:space="0"/>
              <w:right w:val="single" w:color="auto" w:sz="4" w:space="0"/>
            </w:tcBorders>
            <w:vAlign w:val="center"/>
          </w:tcPr>
          <w:p>
            <w:pPr>
              <w:widowControl/>
              <w:autoSpaceDE w:val="0"/>
              <w:spacing w:line="6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公务接待费</w:t>
            </w:r>
          </w:p>
        </w:tc>
        <w:tc>
          <w:tcPr>
            <w:tcW w:w="2235" w:type="dxa"/>
            <w:tcBorders>
              <w:top w:val="nil"/>
              <w:left w:val="nil"/>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color w:val="000000"/>
                <w:kern w:val="0"/>
                <w:sz w:val="20"/>
                <w:szCs w:val="20"/>
              </w:rPr>
              <w:t>0.60</w:t>
            </w:r>
          </w:p>
        </w:tc>
        <w:tc>
          <w:tcPr>
            <w:tcW w:w="2300"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0</w:t>
            </w:r>
          </w:p>
        </w:tc>
      </w:tr>
      <w:tr>
        <w:tblPrEx>
          <w:tblCellMar>
            <w:top w:w="0" w:type="dxa"/>
            <w:left w:w="108" w:type="dxa"/>
            <w:bottom w:w="0" w:type="dxa"/>
            <w:right w:w="108" w:type="dxa"/>
          </w:tblCellMar>
        </w:tblPrEx>
        <w:trPr>
          <w:trHeight w:val="454" w:hRule="atLeast"/>
          <w:jc w:val="center"/>
        </w:trPr>
        <w:tc>
          <w:tcPr>
            <w:tcW w:w="4536" w:type="dxa"/>
            <w:tcBorders>
              <w:top w:val="nil"/>
              <w:left w:val="single" w:color="auto" w:sz="4" w:space="0"/>
              <w:bottom w:val="single" w:color="auto" w:sz="4" w:space="0"/>
              <w:right w:val="single" w:color="auto" w:sz="4" w:space="0"/>
            </w:tcBorders>
            <w:vAlign w:val="center"/>
          </w:tcPr>
          <w:p>
            <w:pPr>
              <w:widowControl/>
              <w:autoSpaceDE w:val="0"/>
              <w:spacing w:line="6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公务用车购置及运行维护费</w:t>
            </w:r>
          </w:p>
        </w:tc>
        <w:tc>
          <w:tcPr>
            <w:tcW w:w="2235"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2300"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454" w:hRule="atLeast"/>
          <w:jc w:val="center"/>
        </w:trPr>
        <w:tc>
          <w:tcPr>
            <w:tcW w:w="4536" w:type="dxa"/>
            <w:tcBorders>
              <w:top w:val="nil"/>
              <w:left w:val="single" w:color="auto" w:sz="4" w:space="0"/>
              <w:bottom w:val="single" w:color="auto" w:sz="4" w:space="0"/>
              <w:right w:val="single" w:color="auto" w:sz="4" w:space="0"/>
            </w:tcBorders>
            <w:vAlign w:val="center"/>
          </w:tcPr>
          <w:p>
            <w:pPr>
              <w:widowControl/>
              <w:autoSpaceDE w:val="0"/>
              <w:spacing w:line="6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其中：公务用车购置费</w:t>
            </w:r>
          </w:p>
        </w:tc>
        <w:tc>
          <w:tcPr>
            <w:tcW w:w="2235"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2300"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r>
        <w:tblPrEx>
          <w:tblCellMar>
            <w:top w:w="0" w:type="dxa"/>
            <w:left w:w="108" w:type="dxa"/>
            <w:bottom w:w="0" w:type="dxa"/>
            <w:right w:w="108" w:type="dxa"/>
          </w:tblCellMar>
        </w:tblPrEx>
        <w:trPr>
          <w:trHeight w:val="454" w:hRule="atLeast"/>
          <w:jc w:val="center"/>
        </w:trPr>
        <w:tc>
          <w:tcPr>
            <w:tcW w:w="4536" w:type="dxa"/>
            <w:tcBorders>
              <w:top w:val="nil"/>
              <w:left w:val="single" w:color="auto" w:sz="4" w:space="0"/>
              <w:bottom w:val="single" w:color="auto" w:sz="4" w:space="0"/>
              <w:right w:val="single" w:color="auto" w:sz="4" w:space="0"/>
            </w:tcBorders>
            <w:vAlign w:val="center"/>
          </w:tcPr>
          <w:p>
            <w:pPr>
              <w:widowControl/>
              <w:autoSpaceDE w:val="0"/>
              <w:spacing w:line="6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公务用车运行维护费</w:t>
            </w:r>
          </w:p>
        </w:tc>
        <w:tc>
          <w:tcPr>
            <w:tcW w:w="2235"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c>
          <w:tcPr>
            <w:tcW w:w="2300"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0</w:t>
            </w:r>
          </w:p>
        </w:tc>
      </w:tr>
    </w:tbl>
    <w:p>
      <w:pPr>
        <w:keepNext w:val="0"/>
        <w:keepLines w:val="0"/>
        <w:pageBreakBefore w:val="0"/>
        <w:widowControl w:val="0"/>
        <w:kinsoku/>
        <w:wordWrap/>
        <w:overflowPunct/>
        <w:topLinePunct w:val="0"/>
        <w:autoSpaceDE w:val="0"/>
        <w:autoSpaceDN/>
        <w:bidi w:val="0"/>
        <w:adjustRightInd/>
        <w:snapToGrid/>
        <w:spacing w:line="44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sz w:val="32"/>
          <w:szCs w:val="32"/>
        </w:rPr>
        <w:t xml:space="preserve">                                    </w:t>
      </w:r>
    </w:p>
    <w:p>
      <w:pPr>
        <w:autoSpaceDE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二、2022年度一般公共预算财政拨款“三公”经费支出情况说明</w:t>
      </w:r>
    </w:p>
    <w:p>
      <w:pPr>
        <w:autoSpaceDE w:val="0"/>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（一）一般公共预算财政拨款“三公”经费支出决算总体情况说明。</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安徽省农业科技教育中心2022年度一般公共预算财政拨款“三公”经费支出预算为0.6万元，支出决算为0万元，完成预算的0%，较上年减少0.38万元，下降</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%。决算数小于预算数的主要原因是</w:t>
      </w:r>
      <w:r>
        <w:rPr>
          <w:rFonts w:hint="eastAsia" w:ascii="Times New Roman" w:hAnsi="Times New Roman" w:eastAsia="仿宋_GB2312" w:cs="Times New Roman"/>
          <w:sz w:val="32"/>
          <w:szCs w:val="32"/>
          <w:lang w:eastAsia="zh-CN"/>
        </w:rPr>
        <w:t>本年未安排“三公”经费支出。决算数较上年减少的原因是</w:t>
      </w:r>
      <w:r>
        <w:rPr>
          <w:rFonts w:hint="default" w:ascii="Times New Roman" w:hAnsi="Times New Roman" w:eastAsia="仿宋_GB2312" w:cs="Times New Roman"/>
          <w:sz w:val="32"/>
          <w:szCs w:val="32"/>
        </w:rPr>
        <w:t>贯彻执行中央八项规定的精神，牢固树立过紧日子思想，坚持厉行节约，反对浪费，严控一般性支出，严控“三公”经费支出。</w:t>
      </w:r>
    </w:p>
    <w:p>
      <w:pPr>
        <w:autoSpaceDE w:val="0"/>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sz w:val="32"/>
          <w:szCs w:val="32"/>
        </w:rPr>
        <w:t>（二）</w:t>
      </w:r>
      <w:r>
        <w:rPr>
          <w:rFonts w:hint="default" w:ascii="Times New Roman" w:hAnsi="Times New Roman" w:eastAsia="仿宋_GB2312" w:cs="Times New Roman"/>
          <w:b/>
          <w:sz w:val="32"/>
          <w:szCs w:val="32"/>
        </w:rPr>
        <w:t>一般公共预算财政拨款“三公”经费支出决算具体情况说明。</w:t>
      </w:r>
    </w:p>
    <w:p>
      <w:pPr>
        <w:autoSpaceDE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安徽省农业科技教育中心2022年度一般公共预算财政拨款“三公”经费支出决算中，因公出国（境）费支出决算0万元，占0%;公务接待费支出决算0万元，占0%；公务用车购置及运行维护费支出决算0万元，占0%。具体情况如下：</w:t>
      </w:r>
    </w:p>
    <w:p>
      <w:pPr>
        <w:spacing w:line="600" w:lineRule="exact"/>
        <w:ind w:firstLine="628"/>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1.因公出国（境）费</w:t>
      </w:r>
      <w:r>
        <w:rPr>
          <w:rFonts w:hint="default" w:ascii="Times New Roman" w:hAnsi="Times New Roman" w:eastAsia="仿宋_GB2312" w:cs="Times New Roman"/>
          <w:sz w:val="32"/>
          <w:szCs w:val="32"/>
        </w:rPr>
        <w:t>预算为0万元，支出决算为0万元，完成预算的</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，决算数与预算数相同</w:t>
      </w:r>
      <w:r>
        <w:rPr>
          <w:rFonts w:hint="default" w:ascii="Times New Roman" w:hAnsi="Times New Roman" w:eastAsia="仿宋_GB2312" w:cs="Times New Roman"/>
          <w:sz w:val="32"/>
          <w:szCs w:val="32"/>
        </w:rPr>
        <w:t>；较上年</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0万元，下降0%。原因是</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2022年度</w:t>
      </w:r>
      <w:r>
        <w:rPr>
          <w:rFonts w:hint="eastAsia"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未安排</w:t>
      </w:r>
      <w:r>
        <w:rPr>
          <w:rFonts w:hint="default" w:ascii="Times New Roman" w:hAnsi="Times New Roman" w:eastAsia="仿宋_GB2312" w:cs="Times New Roman"/>
          <w:bCs/>
          <w:sz w:val="32"/>
          <w:szCs w:val="32"/>
        </w:rPr>
        <w:t>因公出国（境）费计划</w:t>
      </w:r>
      <w:r>
        <w:rPr>
          <w:rFonts w:hint="eastAsia"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故2022年安徽省农业科技教育中心因公出国（境）团组0次，出国（境）0人次。</w:t>
      </w:r>
    </w:p>
    <w:p>
      <w:pPr>
        <w:ind w:firstLine="643" w:firstLineChars="200"/>
        <w:rPr>
          <w:rFonts w:hint="eastAsia" w:ascii="仿宋_GB2312" w:hAnsi="仿宋_GB2312" w:eastAsia="仿宋_GB2312" w:cs="仿宋_GB2312"/>
          <w:color w:val="auto"/>
          <w:sz w:val="32"/>
          <w:szCs w:val="32"/>
        </w:rPr>
      </w:pPr>
      <w:r>
        <w:rPr>
          <w:rFonts w:hint="default" w:ascii="Times New Roman" w:hAnsi="Times New Roman" w:eastAsia="仿宋_GB2312" w:cs="Times New Roman"/>
          <w:b/>
          <w:bCs/>
          <w:sz w:val="32"/>
          <w:szCs w:val="32"/>
        </w:rPr>
        <w:t>2.公务接待费</w:t>
      </w:r>
      <w:r>
        <w:rPr>
          <w:rFonts w:hint="default" w:ascii="Times New Roman" w:hAnsi="Times New Roman" w:eastAsia="仿宋_GB2312" w:cs="Times New Roman"/>
          <w:sz w:val="32"/>
          <w:szCs w:val="32"/>
        </w:rPr>
        <w:t>预算为0.6万元，支出决算为0万元，完成预算的0%；较上年减少0.38万元，下降100%。决算数小于预算数的主要原因是</w:t>
      </w:r>
      <w:r>
        <w:rPr>
          <w:rFonts w:hint="eastAsia" w:ascii="Times New Roman" w:hAnsi="Times New Roman" w:eastAsia="仿宋_GB2312" w:cs="Times New Roman"/>
          <w:sz w:val="32"/>
          <w:szCs w:val="32"/>
          <w:lang w:eastAsia="zh-CN"/>
        </w:rPr>
        <w:t>本年未安排公务接待支出。决算数较上年减少的主要原因是</w:t>
      </w:r>
      <w:r>
        <w:rPr>
          <w:rFonts w:hint="default" w:ascii="Times New Roman" w:hAnsi="Times New Roman" w:eastAsia="仿宋_GB2312" w:cs="Times New Roman"/>
          <w:sz w:val="32"/>
          <w:szCs w:val="32"/>
        </w:rPr>
        <w:t>牢固树立过紧日子思想，坚持厉行节约，反对浪费。</w:t>
      </w:r>
      <w:r>
        <w:rPr>
          <w:rFonts w:hint="eastAsia" w:ascii="Times New Roman" w:hAnsi="Times New Roman" w:eastAsia="仿宋_GB2312" w:cs="Times New Roman"/>
          <w:sz w:val="32"/>
          <w:szCs w:val="32"/>
          <w:lang w:val="en-US" w:eastAsia="zh-CN"/>
        </w:rPr>
        <w:t>2022年安徽省农业科技教育中心国内公务接待0批次（其中外事接待0批次）、0人次（其中外事接待0人次）。</w:t>
      </w:r>
      <w:r>
        <w:rPr>
          <w:rFonts w:hint="eastAsia" w:ascii="仿宋_GB2312" w:hAnsi="仿宋_GB2312" w:eastAsia="仿宋_GB2312" w:cs="仿宋_GB2312"/>
          <w:color w:val="auto"/>
          <w:sz w:val="32"/>
          <w:szCs w:val="32"/>
        </w:rPr>
        <w:t>经费使用贯彻中央八项规定</w:t>
      </w:r>
      <w:r>
        <w:rPr>
          <w:rFonts w:hint="eastAsia" w:ascii="仿宋_GB2312" w:hAnsi="仿宋_GB2312" w:eastAsia="仿宋_GB2312" w:cs="仿宋_GB2312"/>
          <w:color w:val="auto"/>
          <w:sz w:val="32"/>
          <w:szCs w:val="32"/>
          <w:lang w:eastAsia="zh-CN"/>
        </w:rPr>
        <w:t>精神</w:t>
      </w:r>
      <w:r>
        <w:rPr>
          <w:rFonts w:hint="eastAsia" w:ascii="仿宋_GB2312" w:hAnsi="仿宋_GB2312" w:eastAsia="仿宋_GB2312" w:cs="仿宋_GB2312"/>
          <w:color w:val="auto"/>
          <w:sz w:val="32"/>
          <w:szCs w:val="32"/>
        </w:rPr>
        <w:t>和省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实</w:t>
      </w:r>
      <w:r>
        <w:rPr>
          <w:rFonts w:hint="eastAsia" w:ascii="仿宋_GB2312" w:hAnsi="仿宋_GB2312" w:eastAsia="仿宋_GB2312" w:cs="仿宋_GB2312"/>
          <w:color w:val="auto"/>
          <w:kern w:val="0"/>
          <w:sz w:val="32"/>
          <w:szCs w:val="32"/>
        </w:rPr>
        <w:t>施细则</w:t>
      </w:r>
      <w:r>
        <w:rPr>
          <w:rFonts w:hint="eastAsia" w:ascii="仿宋_GB2312" w:hAnsi="仿宋_GB2312" w:eastAsia="仿宋_GB2312" w:cs="仿宋_GB2312"/>
          <w:color w:val="auto"/>
          <w:sz w:val="32"/>
          <w:szCs w:val="32"/>
        </w:rPr>
        <w:t>，严格执行《党政机关厉行节约反对浪费条例》、《安徽省省直机关公务接待管理暂行办法》（财行〔2014〕2066号）</w:t>
      </w:r>
      <w:r>
        <w:rPr>
          <w:rFonts w:hint="eastAsia" w:ascii="仿宋_GB2312" w:hAnsi="仿宋_GB2312" w:eastAsia="仿宋_GB2312" w:cs="仿宋_GB2312"/>
          <w:color w:val="auto"/>
          <w:sz w:val="32"/>
          <w:szCs w:val="32"/>
          <w:lang w:eastAsia="zh-CN"/>
        </w:rPr>
        <w:t>、《安徽省财政厅关于调整省直机关公务接待费用餐标准的通知》</w:t>
      </w:r>
      <w:r>
        <w:rPr>
          <w:rFonts w:hint="eastAsia" w:ascii="仿宋_GB2312" w:hAnsi="仿宋_GB2312" w:eastAsia="仿宋_GB2312" w:cs="仿宋_GB2312"/>
          <w:color w:val="auto"/>
          <w:sz w:val="32"/>
          <w:szCs w:val="32"/>
        </w:rPr>
        <w:t>（财行〔201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1096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相关规定。</w:t>
      </w:r>
    </w:p>
    <w:p>
      <w:pPr>
        <w:autoSpaceDE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3.公务用车购置及运行维护费</w:t>
      </w:r>
      <w:r>
        <w:rPr>
          <w:rFonts w:hint="default" w:ascii="Times New Roman" w:hAnsi="Times New Roman" w:eastAsia="仿宋_GB2312" w:cs="Times New Roman"/>
          <w:sz w:val="32"/>
          <w:szCs w:val="32"/>
        </w:rPr>
        <w:t>预算为0万元，支出决算为0万元，完成预算的</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，决算数与预算数相同</w:t>
      </w:r>
      <w:r>
        <w:rPr>
          <w:rFonts w:hint="default" w:ascii="Times New Roman" w:hAnsi="Times New Roman" w:eastAsia="仿宋_GB2312" w:cs="Times New Roman"/>
          <w:sz w:val="32"/>
          <w:szCs w:val="32"/>
        </w:rPr>
        <w:t>；较上年</w:t>
      </w:r>
      <w:r>
        <w:rPr>
          <w:rFonts w:hint="default" w:ascii="Times New Roman" w:hAnsi="Times New Roman" w:eastAsia="仿宋_GB2312" w:cs="Times New Roman"/>
          <w:sz w:val="32"/>
          <w:szCs w:val="32"/>
          <w:lang w:eastAsia="zh-CN"/>
        </w:rPr>
        <w:t>减少</w:t>
      </w:r>
      <w:r>
        <w:rPr>
          <w:rFonts w:hint="default" w:ascii="Times New Roman" w:hAnsi="Times New Roman" w:eastAsia="仿宋_GB2312" w:cs="Times New Roman"/>
          <w:sz w:val="32"/>
          <w:szCs w:val="32"/>
          <w:lang w:val="en-US" w:eastAsia="zh-CN"/>
        </w:rPr>
        <w:t>0万元，下降0%。</w:t>
      </w:r>
      <w:r>
        <w:rPr>
          <w:rFonts w:hint="default" w:ascii="Times New Roman" w:hAnsi="Times New Roman" w:eastAsia="仿宋_GB2312" w:cs="Times New Roman"/>
          <w:sz w:val="32"/>
          <w:szCs w:val="32"/>
        </w:rPr>
        <w:t>原因是</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未安排公务用车购置及运行维护费。</w:t>
      </w:r>
      <w:r>
        <w:rPr>
          <w:rFonts w:hint="default" w:ascii="Times New Roman" w:hAnsi="Times New Roman" w:eastAsia="仿宋_GB2312" w:cs="Times New Roman"/>
          <w:sz w:val="32"/>
          <w:szCs w:val="32"/>
          <w:lang w:eastAsia="zh-CN"/>
        </w:rPr>
        <w:t>其中，公务用车购置费预算为</w:t>
      </w:r>
      <w:r>
        <w:rPr>
          <w:rFonts w:hint="default" w:ascii="Times New Roman" w:hAnsi="Times New Roman" w:eastAsia="仿宋_GB2312" w:cs="Times New Roman"/>
          <w:sz w:val="32"/>
          <w:szCs w:val="32"/>
          <w:lang w:val="en-US" w:eastAsia="zh-CN"/>
        </w:rPr>
        <w:t>0万元，</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0万元，</w:t>
      </w:r>
      <w:r>
        <w:rPr>
          <w:rFonts w:hint="eastAsia" w:ascii="Times New Roman" w:hAnsi="Times New Roman" w:eastAsia="仿宋_GB2312" w:cs="Times New Roman"/>
          <w:sz w:val="32"/>
          <w:szCs w:val="32"/>
          <w:lang w:val="en-US" w:eastAsia="zh-CN"/>
        </w:rPr>
        <w:t>完成预算的100%，决算数与预算数相同；较上</w:t>
      </w:r>
      <w:r>
        <w:rPr>
          <w:rFonts w:hint="eastAsia" w:ascii="Times New Roman" w:hAnsi="Times New Roman" w:eastAsia="仿宋_GB2312" w:cs="Times New Roman"/>
          <w:sz w:val="32"/>
          <w:szCs w:val="32"/>
          <w:lang w:eastAsia="zh-CN"/>
        </w:rPr>
        <w:t>年减少</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万元，下降</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原因是</w:t>
      </w:r>
      <w:r>
        <w:rPr>
          <w:rFonts w:hint="eastAsia" w:ascii="Times New Roman" w:hAnsi="Times New Roman" w:eastAsia="仿宋_GB2312" w:cs="Times New Roman"/>
          <w:sz w:val="32"/>
          <w:szCs w:val="32"/>
          <w:lang w:val="en-US" w:eastAsia="zh-CN"/>
        </w:rPr>
        <w:t>2021年度、</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均</w:t>
      </w:r>
      <w:r>
        <w:rPr>
          <w:rFonts w:hint="eastAsia" w:ascii="Times New Roman" w:hAnsi="Times New Roman" w:eastAsia="仿宋_GB2312" w:cs="Times New Roman"/>
          <w:sz w:val="32"/>
          <w:szCs w:val="32"/>
        </w:rPr>
        <w:t>未安排</w:t>
      </w:r>
      <w:r>
        <w:rPr>
          <w:rFonts w:hint="eastAsia" w:ascii="Times New Roman" w:hAnsi="Times New Roman" w:eastAsia="仿宋_GB2312" w:cs="Times New Roman"/>
          <w:sz w:val="32"/>
          <w:szCs w:val="32"/>
          <w:lang w:eastAsia="zh-CN"/>
        </w:rPr>
        <w:t>公务用车购置支出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2022年购置公务用车0辆。</w:t>
      </w:r>
      <w:r>
        <w:rPr>
          <w:rFonts w:hint="default" w:ascii="Times New Roman" w:hAnsi="Times New Roman" w:eastAsia="仿宋_GB2312" w:cs="Times New Roman"/>
          <w:sz w:val="32"/>
          <w:szCs w:val="32"/>
          <w:lang w:val="en-US" w:eastAsia="zh-CN"/>
        </w:rPr>
        <w:t>公务用车运行维护费预算为0万元，</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0万元，</w:t>
      </w:r>
      <w:r>
        <w:rPr>
          <w:rFonts w:hint="eastAsia" w:ascii="Times New Roman" w:hAnsi="Times New Roman" w:eastAsia="仿宋_GB2312" w:cs="Times New Roman"/>
          <w:sz w:val="32"/>
          <w:szCs w:val="32"/>
          <w:lang w:val="en-US" w:eastAsia="zh-CN"/>
        </w:rPr>
        <w:t>完成预算的100%，决算数与预算数相同；较上</w:t>
      </w:r>
      <w:r>
        <w:rPr>
          <w:rFonts w:hint="eastAsia" w:ascii="Times New Roman" w:hAnsi="Times New Roman" w:eastAsia="仿宋_GB2312" w:cs="Times New Roman"/>
          <w:sz w:val="32"/>
          <w:szCs w:val="32"/>
          <w:lang w:eastAsia="zh-CN"/>
        </w:rPr>
        <w:t>年减少</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万元，下降</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原因是</w:t>
      </w:r>
      <w:r>
        <w:rPr>
          <w:rFonts w:hint="eastAsia" w:ascii="Times New Roman" w:hAnsi="Times New Roman" w:eastAsia="仿宋_GB2312" w:cs="Times New Roman"/>
          <w:sz w:val="32"/>
          <w:szCs w:val="32"/>
          <w:lang w:val="en-US" w:eastAsia="zh-CN"/>
        </w:rPr>
        <w:t>2021年度、</w:t>
      </w:r>
      <w:bookmarkStart w:id="0" w:name="_GoBack"/>
      <w:bookmarkEnd w:id="0"/>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均</w:t>
      </w:r>
      <w:r>
        <w:rPr>
          <w:rFonts w:hint="eastAsia" w:ascii="Times New Roman" w:hAnsi="Times New Roman" w:eastAsia="仿宋_GB2312" w:cs="Times New Roman"/>
          <w:sz w:val="32"/>
          <w:szCs w:val="32"/>
        </w:rPr>
        <w:t>未安排</w:t>
      </w:r>
      <w:r>
        <w:rPr>
          <w:rFonts w:hint="eastAsia" w:ascii="Times New Roman" w:hAnsi="Times New Roman" w:eastAsia="仿宋_GB2312" w:cs="Times New Roman"/>
          <w:sz w:val="32"/>
          <w:szCs w:val="32"/>
          <w:lang w:eastAsia="zh-CN"/>
        </w:rPr>
        <w:t>公务用车运行维护费支出</w:t>
      </w:r>
      <w:r>
        <w:rPr>
          <w:rFonts w:hint="eastAsia" w:ascii="Times New Roman" w:hAnsi="Times New Roman" w:eastAsia="仿宋_GB2312" w:cs="Times New Roman"/>
          <w:sz w:val="32"/>
          <w:szCs w:val="32"/>
        </w:rPr>
        <w:t>。</w:t>
      </w:r>
      <w:r>
        <w:rPr>
          <w:rFonts w:hint="eastAsia" w:ascii="仿宋_GB2312" w:hAnsi="仿宋_GB2312" w:eastAsia="仿宋_GB2312" w:cs="仿宋_GB2312"/>
          <w:color w:val="auto"/>
          <w:sz w:val="32"/>
          <w:szCs w:val="32"/>
        </w:rPr>
        <w:t>公务用车运行维护费，包括车辆燃料费、维修费、过路过桥费、保险费等支出，</w:t>
      </w:r>
      <w:r>
        <w:rPr>
          <w:rFonts w:hint="default" w:ascii="Times New Roman" w:hAnsi="Times New Roman" w:eastAsia="仿宋_GB2312" w:cs="Times New Roman"/>
          <w:sz w:val="32"/>
          <w:szCs w:val="32"/>
        </w:rPr>
        <w:t>截至2022年12月31日，安徽省</w:t>
      </w:r>
      <w:r>
        <w:rPr>
          <w:rFonts w:hint="default" w:ascii="Times New Roman" w:hAnsi="Times New Roman" w:eastAsia="仿宋_GB2312" w:cs="Times New Roman"/>
          <w:sz w:val="32"/>
          <w:szCs w:val="32"/>
          <w:lang w:eastAsia="zh-CN"/>
        </w:rPr>
        <w:t>农业科技教育中心</w:t>
      </w:r>
      <w:r>
        <w:rPr>
          <w:rFonts w:hint="default" w:ascii="Times New Roman" w:hAnsi="Times New Roman" w:eastAsia="仿宋_GB2312" w:cs="Times New Roman"/>
          <w:sz w:val="32"/>
          <w:szCs w:val="32"/>
        </w:rPr>
        <w:t>开支财政拨款的公务用车保有量为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autoSpaceDE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autoSpaceDE w:val="0"/>
        <w:spacing w:line="600" w:lineRule="exact"/>
        <w:ind w:left="1258" w:hanging="125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autoSpaceDE w:val="0"/>
        <w:spacing w:line="600" w:lineRule="exact"/>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 </w:t>
      </w:r>
    </w:p>
    <w:p>
      <w:pPr>
        <w:rPr>
          <w:rFonts w:hint="default" w:ascii="Times New Roman" w:hAnsi="Times New Roman" w:cs="Times New Roman"/>
        </w:rPr>
      </w:pPr>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OGQ0M2Y0YjQ2YTI5MTA2MTg5ZjhhNzlmMzNkZDcifQ=="/>
  </w:docVars>
  <w:rsids>
    <w:rsidRoot w:val="00345A3F"/>
    <w:rsid w:val="00345A3F"/>
    <w:rsid w:val="008E2E2F"/>
    <w:rsid w:val="11A80B12"/>
    <w:rsid w:val="1F682295"/>
    <w:rsid w:val="2CE3340C"/>
    <w:rsid w:val="3B706C84"/>
    <w:rsid w:val="3CEF28CF"/>
    <w:rsid w:val="4A8168E8"/>
    <w:rsid w:val="63E4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272</Words>
  <Characters>1555</Characters>
  <Lines>12</Lines>
  <Paragraphs>3</Paragraphs>
  <TotalTime>2</TotalTime>
  <ScaleCrop>false</ScaleCrop>
  <LinksUpToDate>false</LinksUpToDate>
  <CharactersWithSpaces>1824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2023-08-25T03:17:00Z</dcterms:created>
  <dc:creator>曾莹</dc:creator>
  <cp:lastModifiedBy>WPS_1559652512</cp:lastModifiedBy>
  <dcterms:modified xsi:type="dcterms:W3CDTF">2024-02-04T06:43:04Z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C1FDF3CDA6144ED8A3B66F15D9B0E813_12</vt:lpwstr>
  </property>
</Properties>
</file>